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05" w:rsidRPr="00F64F37" w:rsidRDefault="00BA7260" w:rsidP="00083485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64F37">
        <w:rPr>
          <w:rFonts w:ascii="Arial" w:hAnsi="Arial" w:cs="Arial"/>
          <w:b/>
          <w:bCs/>
          <w:color w:val="000000" w:themeColor="text1"/>
          <w:sz w:val="32"/>
          <w:szCs w:val="32"/>
        </w:rPr>
        <w:t>关于开展</w:t>
      </w:r>
      <w:r w:rsidRPr="00F64F37">
        <w:rPr>
          <w:rFonts w:ascii="Arial" w:hAnsi="Arial" w:cs="Arial"/>
          <w:b/>
          <w:bCs/>
          <w:color w:val="000000" w:themeColor="text1"/>
          <w:sz w:val="32"/>
          <w:szCs w:val="32"/>
        </w:rPr>
        <w:t>2014</w:t>
      </w:r>
      <w:r w:rsidRPr="00F64F37">
        <w:rPr>
          <w:rFonts w:ascii="Arial" w:hAnsi="Arial" w:cs="Arial"/>
          <w:b/>
          <w:bCs/>
          <w:color w:val="000000" w:themeColor="text1"/>
          <w:sz w:val="32"/>
          <w:szCs w:val="32"/>
        </w:rPr>
        <w:t>年精品视频公开课建设与推荐工作的通知</w:t>
      </w:r>
    </w:p>
    <w:p w:rsidR="00BA7260" w:rsidRPr="00A15B60" w:rsidRDefault="00BA7260" w:rsidP="00A15B60">
      <w:pPr>
        <w:widowControl/>
        <w:spacing w:line="560" w:lineRule="atLeast"/>
        <w:jc w:val="right"/>
        <w:rPr>
          <w:rFonts w:ascii="仿宋_GB2312" w:eastAsia="仿宋_GB2312" w:hAnsi="Arial" w:cs="Arial"/>
          <w:color w:val="484848"/>
          <w:kern w:val="0"/>
          <w:sz w:val="30"/>
          <w:szCs w:val="30"/>
        </w:rPr>
      </w:pPr>
      <w:proofErr w:type="gramStart"/>
      <w:r w:rsidRPr="00A15B60">
        <w:rPr>
          <w:rFonts w:ascii="仿宋_GB2312" w:eastAsia="仿宋_GB2312" w:hAnsi="Arial" w:cs="Arial"/>
          <w:color w:val="484848"/>
          <w:kern w:val="0"/>
          <w:sz w:val="30"/>
          <w:szCs w:val="30"/>
        </w:rPr>
        <w:t>教高司函</w:t>
      </w:r>
      <w:proofErr w:type="gramEnd"/>
      <w:r w:rsidRPr="00A15B60">
        <w:rPr>
          <w:rFonts w:ascii="仿宋_GB2312" w:eastAsia="仿宋_GB2312" w:hAnsi="Arial" w:cs="Arial"/>
          <w:color w:val="484848"/>
          <w:kern w:val="0"/>
          <w:sz w:val="30"/>
          <w:szCs w:val="30"/>
        </w:rPr>
        <w:t>〔2013〕125号</w:t>
      </w:r>
    </w:p>
    <w:p w:rsidR="00F64F37" w:rsidRDefault="00F64F37" w:rsidP="00BA7260">
      <w:pPr>
        <w:widowControl/>
        <w:spacing w:line="560" w:lineRule="atLeast"/>
        <w:jc w:val="left"/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</w:pPr>
    </w:p>
    <w:p w:rsidR="00BA7260" w:rsidRPr="00BA7260" w:rsidRDefault="00BA7260" w:rsidP="00BA7260">
      <w:pPr>
        <w:widowControl/>
        <w:spacing w:line="560" w:lineRule="atLeast"/>
        <w:jc w:val="left"/>
        <w:rPr>
          <w:rFonts w:ascii="Arial" w:eastAsia="宋体" w:hAnsi="Arial" w:cs="Arial"/>
          <w:color w:val="484848"/>
          <w:kern w:val="0"/>
          <w:szCs w:val="21"/>
        </w:rPr>
      </w:pPr>
      <w:bookmarkStart w:id="0" w:name="_GoBack"/>
      <w:bookmarkEnd w:id="0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各省、自治区、直辖市教育厅（教委），新疆生产建设兵团教育局，有关部门（单位）教育司（局），总参谋部军训部院校教学局，有关教育部高等学校教学指导委员会，部属各高等学校：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根据《教育部关于国家精品开放课程建设的实施意见》（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教高〔2011〕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8号），我司决定启动2014年精品视频公开课建设与推荐工作，现将具体事项通知如下。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b/>
          <w:bCs/>
          <w:color w:val="484848"/>
          <w:kern w:val="0"/>
          <w:sz w:val="30"/>
          <w:szCs w:val="30"/>
        </w:rPr>
        <w:t>一、课程建设计划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2014年，我司继续组织建设400门左右科学文化素质教育类、专业导论类精品视频公开课，基本完成“十二五”期间精品视频公开课建设计划。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（一）科学文化素质教育类课程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继续建设适合高校教学选用的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社会影响力大、受众面广的各科类</w:t>
      </w:r>
      <w:r w:rsidRPr="00BA7260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大学生科学文化素质教育课程及学术讲座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鼓励国家大学生文化素质教育基地积极参与课程建设。为加强大学生中华优秀传统文化教育，促进中华优秀传统文化的普及与传播，鼓励高校建设更多中华优秀传统文化类课程，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特别是建设高水平的英文或中文授课配中英文唱词（字幕）的课程，提升中国大学视频公开课的国际传播能力，推动中华文化走向世界。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（二）专业导论类课程</w:t>
      </w:r>
    </w:p>
    <w:p w:rsidR="00BA7260" w:rsidRPr="00BA7260" w:rsidRDefault="00BA7260" w:rsidP="00BA7260">
      <w:pPr>
        <w:widowControl/>
        <w:spacing w:line="560" w:lineRule="atLeast"/>
        <w:ind w:firstLine="513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lastRenderedPageBreak/>
        <w:t>为了使大学生和社会大众了解相关本科专业内涵特点、专业与社会经济发展的关系、专业涉及的主要学科知识和课程体系、专业人才培养基本要求等，帮助高校学生形成较系统的专业认识，满足社会大众了解相关专业内涵和发展趋势的热切要求，将继续根据《普通高等学校本科专业目录（2012年）》建设一批专业导论类课程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专业导论类课程由教育部高等学校各专业教学指导委员会（以下简称“专业教指委”）根据专业内涵、发展趋势，以及专业普及和人才培养的迫切要求，自主确定课程选题，选择在相应学科专业领域具有领先优势和影响力的高校（一所或多所联合），组建优秀教师团队建设课程，并确定课程主持学校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2014年，我司将进一步完善精品视频公开课课程体系，注重提高课程质量。请有关高校进一步关注大学生和社会大众需求，结合高校优势，精心选题和设计课程，</w:t>
      </w:r>
      <w:r w:rsidRPr="00BA7260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进一步创新视频公开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教学模式，倾力打造优质课程，避免重复建设过去三年已建成的类似课程。</w:t>
      </w:r>
      <w:r w:rsidRPr="00BA7260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鼓励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更多高校通过校园网链接“爱课程”网、植入“爱课程”网校园端等方式，将上网的视频公开课用于本校教学，推动大学生文化素质教育课程教学改革。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b/>
          <w:bCs/>
          <w:color w:val="484848"/>
          <w:kern w:val="0"/>
          <w:sz w:val="30"/>
          <w:szCs w:val="30"/>
        </w:rPr>
        <w:t>二、课程建设及审查要求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精品视频公开课课程负责人应由承担该门课程授课任务的教师担任。精品视频公开课建设目标与任务、组织与管理以及建设基本要求须继续参照《关于开展2012年度精品视频公开课推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lastRenderedPageBreak/>
        <w:t>荐工作的通知》（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教高司函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〔2012〕11号）有关内容，课程技术标准仍然执行《精品视频公开课拍摄制作技术标准（2013年版）》。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为保证课程质量，加快课程上网进程，有关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专业教指委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和高校须强化责任制，强化课程校内审查环节。各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专业教指委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和高校在课程建设过程中，应针对课程内容和制作，组织3人以上具有相应学科专业领域高级专业技术职务的专家（至少1位校外专家）组成审查小组，</w:t>
      </w:r>
      <w:r w:rsidRPr="00BA7260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从导向性、思想性、科学性、规范性、教师风采、制作技术等方面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对课程进行认真审查。课程须根据专家审查意见进行修改，在课程建设高校校内试用，并根据效果和反馈进行完善。审查小组成员的意见、主要修改建议及课程修改情况等相应材料，在申报课程时须一并提交。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我司将组织专家对有关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专业教指委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和高校推荐的课程进行遴选和审查。对于符合上网要求的视频公开课，按5讲的课程15万元/门、6-10讲的课程18万元/门、11讲以上（含11讲）的课程20万元/门标准，给予上网课程建设经费补贴（军队院校课程除外）；课程配有中英文双语唱词的，一经选用将适当增加补贴数额。上网课程社会反响良好的，给予“精品视频公开课”荣誉称号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为保证中国大学视频公开课免费向社会开放，高校、课程负责人、承担国家精品开放课程共享系统建设和运行任务的高等教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lastRenderedPageBreak/>
        <w:t>育出版社须共同签署相关协议，明确高校、主讲教师、高等教育出版社三方的权利、义务和法律责任。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b/>
          <w:bCs/>
          <w:color w:val="484848"/>
          <w:kern w:val="0"/>
          <w:sz w:val="30"/>
          <w:szCs w:val="30"/>
        </w:rPr>
        <w:t>三、课程申报、推荐及遴选程序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（一）课程申报推荐途径及限额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1.</w:t>
      </w:r>
      <w:r w:rsidRPr="00BA7260">
        <w:rPr>
          <w:rFonts w:ascii="Arial" w:eastAsia="宋体" w:hAnsi="Arial" w:cs="Arial"/>
          <w:color w:val="484848"/>
          <w:kern w:val="0"/>
          <w:sz w:val="30"/>
          <w:szCs w:val="30"/>
        </w:rPr>
        <w:t> 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科学文化素质教育类课程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（1）我部和其他中央部门（单位）直属高校按照“985工程”高校每校4门、其他“211工程”高校每校3门、非“211工程”高校每校1门的限额，直接向我司推荐。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（2）各省级教育行政部门组织本地区地方高校申报，遴选后按照推荐限额（附件1）向我司推荐。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（3）军队系统高校由总参军训部院校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教学局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组织遴选后向我司推荐，限额5门。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2.专业导论类课程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专业教指委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直接向我司推荐，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每个教指委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限额1门。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2014年课程严格按限额推荐，宁缺勿滥，超额推荐的课程不予受理。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（二）</w:t>
      </w:r>
      <w:r w:rsidRPr="00BA7260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推荐时间和提交材料要求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我部及其他中央部门（单位）直属高校、各省级教育行政部门、总参军训部院校教学局、各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专业教指委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于2014年5月6日前以快递方式提交以下材料：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1.2014年精品视频公开课推荐汇总表（1份，见附件2）。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2.每门课程相应材料，包括：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lastRenderedPageBreak/>
        <w:t>（1）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 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2014年精品视频公开课课程申报书（一式3份，见附件3）；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（2）课程全部录像光盘1套（含视频文件、唱词文件）；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（3）纸质课程元数据文件（详见《精品视频公开课拍摄制作技术标准（2013年版）》要求）；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（4）课程文件光盘，包括课程配套的元数据文件、课程目录、推介词文件等。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同时，将附件2和附件3电子版发送至gongkaike@crct.edu.cn，文件名和邮件主题请标明发送单位名称。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 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“高等学校本科教学质量与教学改革工程”网站（www.zlgc.edu.cn）“精品视频公开课建设”栏目将发布精品视频公开课建设相关文件和信息，本通知附件1至附件3及相关信息均可在该网站下载，不再随本通知印发。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b/>
          <w:bCs/>
          <w:color w:val="484848"/>
          <w:kern w:val="0"/>
          <w:sz w:val="30"/>
          <w:szCs w:val="30"/>
        </w:rPr>
        <w:t>四、联系方式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视频公开课建设工作由我司教学条件处负责组织；全国高等学校教学研究中心设置精品视频公开课项目工作组办公室，负责材料接收、技术培训与咨询、课程推送等工作。</w:t>
      </w:r>
    </w:p>
    <w:p w:rsidR="00BA7260" w:rsidRPr="00BA7260" w:rsidRDefault="00BA7260" w:rsidP="00BA7260">
      <w:pPr>
        <w:widowControl/>
        <w:spacing w:line="560" w:lineRule="atLeast"/>
        <w:ind w:left="2661" w:hanging="21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寄送材料地址：北京市德外大街4号C座1002室（邮编：100120）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申报推荐政策咨询：高教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司教学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条件处（010-66096925）</w:t>
      </w:r>
    </w:p>
    <w:p w:rsidR="00BA7260" w:rsidRPr="00BA7260" w:rsidRDefault="00BA7260" w:rsidP="00BA7260">
      <w:pPr>
        <w:widowControl/>
        <w:spacing w:line="560" w:lineRule="atLeast"/>
        <w:ind w:left="3399" w:hanging="18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电子信箱：</w:t>
      </w:r>
      <w:hyperlink r:id="rId7" w:history="1">
        <w:r w:rsidRPr="00BA7260">
          <w:rPr>
            <w:rFonts w:ascii="仿宋_GB2312" w:eastAsia="仿宋_GB2312" w:hAnsi="Arial" w:cs="Arial" w:hint="eastAsia"/>
            <w:kern w:val="0"/>
            <w:szCs w:val="21"/>
          </w:rPr>
          <w:t>gaojs_jxtj@moe.edu.cn</w:t>
        </w:r>
      </w:hyperlink>
    </w:p>
    <w:p w:rsidR="00BA7260" w:rsidRPr="00BA7260" w:rsidRDefault="00BA7260" w:rsidP="00BA7260">
      <w:pPr>
        <w:widowControl/>
        <w:spacing w:line="560" w:lineRule="atLeast"/>
        <w:ind w:left="3577" w:hanging="3018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lastRenderedPageBreak/>
        <w:t>材料寄送咨询：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    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邓捷（010-58581448）</w:t>
      </w:r>
    </w:p>
    <w:p w:rsidR="00BA7260" w:rsidRPr="00BA7260" w:rsidRDefault="00BA7260" w:rsidP="00BA7260">
      <w:pPr>
        <w:widowControl/>
        <w:spacing w:line="560" w:lineRule="atLeast"/>
        <w:ind w:firstLine="33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电子信箱：gongkaike@crct.edu.cn</w:t>
      </w:r>
    </w:p>
    <w:p w:rsidR="00BA7260" w:rsidRPr="00BA7260" w:rsidRDefault="00BA7260" w:rsidP="00BA7260">
      <w:pPr>
        <w:widowControl/>
        <w:spacing w:line="560" w:lineRule="atLeast"/>
        <w:ind w:left="3577" w:hanging="3018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拍摄制作技术咨询：文</w:t>
      </w:r>
      <w:proofErr w:type="gramStart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娟</w:t>
      </w:r>
      <w:proofErr w:type="gramEnd"/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（010-58581905）</w:t>
      </w:r>
    </w:p>
    <w:p w:rsidR="00BA7260" w:rsidRPr="00BA7260" w:rsidRDefault="00BA7260" w:rsidP="00BA7260">
      <w:pPr>
        <w:widowControl/>
        <w:spacing w:line="560" w:lineRule="atLeast"/>
        <w:ind w:firstLine="33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电子信箱：gongkaike@crct.edu.cn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 </w:t>
      </w:r>
    </w:p>
    <w:p w:rsidR="00BA7260" w:rsidRPr="00BA7260" w:rsidRDefault="00BA7260" w:rsidP="00BA7260">
      <w:pPr>
        <w:widowControl/>
        <w:spacing w:line="560" w:lineRule="atLeast"/>
        <w:ind w:firstLine="60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附件:1.2014年省级教育行政部门推荐课程限额表</w:t>
      </w:r>
    </w:p>
    <w:p w:rsidR="00BA7260" w:rsidRPr="00BA7260" w:rsidRDefault="00BA7260" w:rsidP="00BA7260">
      <w:pPr>
        <w:widowControl/>
        <w:spacing w:line="560" w:lineRule="atLeast"/>
        <w:ind w:firstLine="135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2.2014年精品视频公开课推荐汇总表</w:t>
      </w:r>
    </w:p>
    <w:p w:rsidR="00BA7260" w:rsidRPr="00BA7260" w:rsidRDefault="00BA7260" w:rsidP="00BA7260">
      <w:pPr>
        <w:widowControl/>
        <w:spacing w:line="560" w:lineRule="atLeast"/>
        <w:ind w:firstLine="1350"/>
        <w:jc w:val="lef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3.2014年精品视频公开课课程申报书</w:t>
      </w:r>
    </w:p>
    <w:p w:rsidR="00BA7260" w:rsidRPr="00BA7260" w:rsidRDefault="00BA7260" w:rsidP="00BA7260">
      <w:pPr>
        <w:widowControl/>
        <w:spacing w:line="560" w:lineRule="atLeast"/>
        <w:jc w:val="righ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 </w:t>
      </w:r>
    </w:p>
    <w:p w:rsidR="00BA7260" w:rsidRPr="00BA7260" w:rsidRDefault="00BA7260" w:rsidP="00BA7260">
      <w:pPr>
        <w:widowControl/>
        <w:spacing w:line="560" w:lineRule="atLeast"/>
        <w:jc w:val="righ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教育部高等教育司</w:t>
      </w:r>
    </w:p>
    <w:p w:rsidR="00BA7260" w:rsidRPr="00BA7260" w:rsidRDefault="00BA7260" w:rsidP="00BA7260">
      <w:pPr>
        <w:widowControl/>
        <w:wordWrap w:val="0"/>
        <w:spacing w:line="560" w:lineRule="atLeast"/>
        <w:jc w:val="right"/>
        <w:rPr>
          <w:rFonts w:ascii="Arial" w:eastAsia="宋体" w:hAnsi="Arial" w:cs="Arial"/>
          <w:color w:val="484848"/>
          <w:kern w:val="0"/>
          <w:szCs w:val="21"/>
        </w:rPr>
      </w:pP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          </w:t>
      </w:r>
      <w:r w:rsidRPr="00BA7260">
        <w:rPr>
          <w:rFonts w:ascii="仿宋_GB2312" w:eastAsia="仿宋_GB2312" w:hAnsi="Arial" w:cs="Arial" w:hint="eastAsia"/>
          <w:color w:val="484848"/>
          <w:kern w:val="0"/>
          <w:sz w:val="30"/>
          <w:szCs w:val="30"/>
        </w:rPr>
        <w:t>2013年12月3日</w:t>
      </w:r>
    </w:p>
    <w:p w:rsidR="00BA7260" w:rsidRDefault="00BA7260"/>
    <w:sectPr w:rsidR="00BA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8A" w:rsidRDefault="00D8268A" w:rsidP="00BA7260">
      <w:r>
        <w:separator/>
      </w:r>
    </w:p>
  </w:endnote>
  <w:endnote w:type="continuationSeparator" w:id="0">
    <w:p w:rsidR="00D8268A" w:rsidRDefault="00D8268A" w:rsidP="00BA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8A" w:rsidRDefault="00D8268A" w:rsidP="00BA7260">
      <w:r>
        <w:separator/>
      </w:r>
    </w:p>
  </w:footnote>
  <w:footnote w:type="continuationSeparator" w:id="0">
    <w:p w:rsidR="00D8268A" w:rsidRDefault="00D8268A" w:rsidP="00BA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1C"/>
    <w:rsid w:val="00083485"/>
    <w:rsid w:val="005A161C"/>
    <w:rsid w:val="007D2805"/>
    <w:rsid w:val="00994D19"/>
    <w:rsid w:val="00A15B60"/>
    <w:rsid w:val="00BA7260"/>
    <w:rsid w:val="00D8268A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260"/>
    <w:rPr>
      <w:sz w:val="18"/>
      <w:szCs w:val="18"/>
    </w:rPr>
  </w:style>
  <w:style w:type="character" w:customStyle="1" w:styleId="apple-converted-space">
    <w:name w:val="apple-converted-space"/>
    <w:basedOn w:val="a0"/>
    <w:rsid w:val="00BA7260"/>
  </w:style>
  <w:style w:type="character" w:styleId="a5">
    <w:name w:val="Hyperlink"/>
    <w:basedOn w:val="a0"/>
    <w:uiPriority w:val="99"/>
    <w:semiHidden/>
    <w:unhideWhenUsed/>
    <w:rsid w:val="00BA7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260"/>
    <w:rPr>
      <w:sz w:val="18"/>
      <w:szCs w:val="18"/>
    </w:rPr>
  </w:style>
  <w:style w:type="character" w:customStyle="1" w:styleId="apple-converted-space">
    <w:name w:val="apple-converted-space"/>
    <w:basedOn w:val="a0"/>
    <w:rsid w:val="00BA7260"/>
  </w:style>
  <w:style w:type="character" w:styleId="a5">
    <w:name w:val="Hyperlink"/>
    <w:basedOn w:val="a0"/>
    <w:uiPriority w:val="99"/>
    <w:semiHidden/>
    <w:unhideWhenUsed/>
    <w:rsid w:val="00BA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ojs_jxtj@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2014-03-17T03:21:00Z</dcterms:created>
  <dcterms:modified xsi:type="dcterms:W3CDTF">2014-03-17T03:24:00Z</dcterms:modified>
</cp:coreProperties>
</file>